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21800" w:rsidRDefault="00D21800">
      <w:pPr>
        <w:rPr>
          <w:rFonts w:ascii="Arial" w:hAnsi="Arial" w:cs="Arial"/>
          <w:b/>
          <w:sz w:val="24"/>
          <w:szCs w:val="24"/>
        </w:rPr>
      </w:pPr>
      <w:r w:rsidRPr="00D21800">
        <w:rPr>
          <w:rFonts w:ascii="Arial" w:hAnsi="Arial" w:cs="Arial"/>
          <w:b/>
          <w:sz w:val="24"/>
          <w:szCs w:val="24"/>
        </w:rPr>
        <w:t xml:space="preserve">UZASADNIENIE. </w:t>
      </w:r>
    </w:p>
    <w:p w:rsidR="00D21800" w:rsidRDefault="00D218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Zasadność podjęcia uchwały ustanawiającej wysokość ekwiwalentu pieniężnego dla członków OSP biorących udział w działaniach ratowniczych i szkoleniach pożarniczych wynika z przepisów ustawy z dnia 24 sierpnia 1991 roku i jej zmian zasadniczych, które weszły w życie 25 września 2008 roku. Wprowadzona zmiana upoważniła Radę Gminy do ustalenia wysokości takiego ekwiwalentu dla członków OSP. </w:t>
      </w:r>
    </w:p>
    <w:p w:rsidR="00D21800" w:rsidRDefault="00E642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21800">
        <w:rPr>
          <w:rFonts w:ascii="Arial" w:hAnsi="Arial" w:cs="Arial"/>
          <w:sz w:val="24"/>
          <w:szCs w:val="24"/>
        </w:rPr>
        <w:t xml:space="preserve">Wysokość ekwiwalentu nie może przekroczyć 1/175 przeciętnego wynagrodzenia ogłoszonego przez Prezesa GUS w Monitorze Polskim na podstawie art. 20 </w:t>
      </w:r>
      <w:proofErr w:type="spellStart"/>
      <w:r w:rsidR="00D21800">
        <w:rPr>
          <w:rFonts w:ascii="Arial" w:hAnsi="Arial" w:cs="Arial"/>
          <w:sz w:val="24"/>
          <w:szCs w:val="24"/>
        </w:rPr>
        <w:t>pkt</w:t>
      </w:r>
      <w:proofErr w:type="spellEnd"/>
      <w:r w:rsidR="00D21800">
        <w:rPr>
          <w:rFonts w:ascii="Arial" w:hAnsi="Arial" w:cs="Arial"/>
          <w:sz w:val="24"/>
          <w:szCs w:val="24"/>
        </w:rPr>
        <w:t xml:space="preserve"> 2 ustawy z dnia 17 grudnia 1998 roku o emeryturach i rentach z Funduszu Ubezpieczeń Społecznych, przed dniem ustalenia ekwiwalentu, za każd</w:t>
      </w:r>
      <w:r>
        <w:rPr>
          <w:rFonts w:ascii="Arial" w:hAnsi="Arial" w:cs="Arial"/>
          <w:sz w:val="24"/>
          <w:szCs w:val="24"/>
        </w:rPr>
        <w:t>ą</w:t>
      </w:r>
      <w:r w:rsidR="00D21800">
        <w:rPr>
          <w:rFonts w:ascii="Arial" w:hAnsi="Arial" w:cs="Arial"/>
          <w:sz w:val="24"/>
          <w:szCs w:val="24"/>
        </w:rPr>
        <w:t xml:space="preserve"> godzinę udziału w działaniu ratowniczym lub szkoleniu pożarniczym. Ekwiwalent wypłacany jest z budżetu gminy. </w:t>
      </w:r>
    </w:p>
    <w:p w:rsidR="00D21800" w:rsidRDefault="00E642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21800">
        <w:rPr>
          <w:rFonts w:ascii="Arial" w:hAnsi="Arial" w:cs="Arial"/>
          <w:sz w:val="24"/>
          <w:szCs w:val="24"/>
        </w:rPr>
        <w:t xml:space="preserve">Wynagrodzenie za IV kwartał 2008 roku wynosiło 2.968,55 zł, z czego 1/175 wynosi 16,96 zł.  </w:t>
      </w:r>
    </w:p>
    <w:p w:rsidR="00D21800" w:rsidRDefault="00D218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21800" w:rsidRPr="00D21800" w:rsidRDefault="00D21800">
      <w:pPr>
        <w:rPr>
          <w:rFonts w:ascii="Arial" w:hAnsi="Arial" w:cs="Arial"/>
          <w:sz w:val="24"/>
          <w:szCs w:val="24"/>
        </w:rPr>
      </w:pPr>
    </w:p>
    <w:sectPr w:rsidR="00D21800" w:rsidRPr="00D21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21800"/>
    <w:rsid w:val="008111BE"/>
    <w:rsid w:val="00D21800"/>
    <w:rsid w:val="00E6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Qwert</cp:lastModifiedBy>
  <cp:revision>3</cp:revision>
  <dcterms:created xsi:type="dcterms:W3CDTF">2009-02-10T02:39:00Z</dcterms:created>
  <dcterms:modified xsi:type="dcterms:W3CDTF">2009-02-10T02:51:00Z</dcterms:modified>
</cp:coreProperties>
</file>